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13D" w:rsidRPr="00BB413D" w:rsidRDefault="00BB413D" w:rsidP="00BB413D">
      <w:pPr>
        <w:pStyle w:val="Web"/>
        <w:shd w:val="clear" w:color="auto" w:fill="FFFFFF"/>
        <w:spacing w:before="192" w:beforeAutospacing="0" w:after="192" w:afterAutospacing="0"/>
        <w:jc w:val="center"/>
        <w:rPr>
          <w:rFonts w:asciiTheme="minorHAnsi" w:hAnsiTheme="minorHAnsi" w:cstheme="minorHAnsi"/>
          <w:color w:val="FF0000"/>
          <w:spacing w:val="11"/>
          <w:sz w:val="32"/>
          <w:szCs w:val="32"/>
        </w:rPr>
      </w:pPr>
      <w:r w:rsidRPr="00BB413D">
        <w:rPr>
          <w:rStyle w:val="a3"/>
          <w:rFonts w:asciiTheme="minorHAnsi" w:hAnsiTheme="minorHAnsi" w:cstheme="minorHAnsi"/>
          <w:color w:val="FF0000"/>
          <w:spacing w:val="11"/>
          <w:sz w:val="32"/>
          <w:szCs w:val="32"/>
        </w:rPr>
        <w:t>Συνταξιοδότηση</w:t>
      </w:r>
      <w:r w:rsidRPr="00BB413D">
        <w:rPr>
          <w:rFonts w:asciiTheme="minorHAnsi" w:hAnsiTheme="minorHAnsi" w:cstheme="minorHAnsi"/>
          <w:color w:val="FF0000"/>
          <w:spacing w:val="11"/>
          <w:sz w:val="32"/>
          <w:szCs w:val="32"/>
        </w:rPr>
        <w:t> </w:t>
      </w:r>
      <w:r w:rsidRPr="00BB413D">
        <w:rPr>
          <w:rStyle w:val="a3"/>
          <w:rFonts w:asciiTheme="minorHAnsi" w:hAnsiTheme="minorHAnsi" w:cstheme="minorHAnsi"/>
          <w:color w:val="FF0000"/>
          <w:spacing w:val="11"/>
          <w:sz w:val="32"/>
          <w:szCs w:val="32"/>
        </w:rPr>
        <w:t>με</w:t>
      </w:r>
      <w:r w:rsidRPr="00BB413D">
        <w:rPr>
          <w:rFonts w:asciiTheme="minorHAnsi" w:hAnsiTheme="minorHAnsi" w:cstheme="minorHAnsi"/>
          <w:color w:val="FF0000"/>
          <w:spacing w:val="11"/>
          <w:sz w:val="32"/>
          <w:szCs w:val="32"/>
        </w:rPr>
        <w:t> </w:t>
      </w:r>
      <w:r w:rsidRPr="00BB413D">
        <w:rPr>
          <w:rStyle w:val="a3"/>
          <w:rFonts w:asciiTheme="minorHAnsi" w:hAnsiTheme="minorHAnsi" w:cstheme="minorHAnsi"/>
          <w:color w:val="FF0000"/>
          <w:spacing w:val="11"/>
          <w:sz w:val="32"/>
          <w:szCs w:val="32"/>
        </w:rPr>
        <w:t>οφειλές</w:t>
      </w:r>
      <w:r w:rsidRPr="00BB413D">
        <w:rPr>
          <w:rFonts w:asciiTheme="minorHAnsi" w:hAnsiTheme="minorHAnsi" w:cstheme="minorHAnsi"/>
          <w:color w:val="FF0000"/>
          <w:spacing w:val="11"/>
          <w:sz w:val="32"/>
          <w:szCs w:val="32"/>
        </w:rPr>
        <w:t> </w:t>
      </w:r>
      <w:r w:rsidRPr="00BB413D">
        <w:rPr>
          <w:rStyle w:val="a3"/>
          <w:rFonts w:asciiTheme="minorHAnsi" w:hAnsiTheme="minorHAnsi" w:cstheme="minorHAnsi"/>
          <w:color w:val="FF0000"/>
          <w:spacing w:val="11"/>
          <w:sz w:val="32"/>
          <w:szCs w:val="32"/>
        </w:rPr>
        <w:t>από</w:t>
      </w:r>
      <w:r w:rsidRPr="00BB413D">
        <w:rPr>
          <w:rFonts w:asciiTheme="minorHAnsi" w:hAnsiTheme="minorHAnsi" w:cstheme="minorHAnsi"/>
          <w:color w:val="FF0000"/>
          <w:spacing w:val="11"/>
          <w:sz w:val="32"/>
          <w:szCs w:val="32"/>
        </w:rPr>
        <w:t> </w:t>
      </w:r>
      <w:r w:rsidRPr="00BB413D">
        <w:rPr>
          <w:rStyle w:val="a3"/>
          <w:rFonts w:asciiTheme="minorHAnsi" w:hAnsiTheme="minorHAnsi" w:cstheme="minorHAnsi"/>
          <w:color w:val="FF0000"/>
          <w:spacing w:val="11"/>
          <w:sz w:val="32"/>
          <w:szCs w:val="32"/>
        </w:rPr>
        <w:t>ασφαλιστικές</w:t>
      </w:r>
      <w:r w:rsidRPr="00BB413D">
        <w:rPr>
          <w:rFonts w:asciiTheme="minorHAnsi" w:hAnsiTheme="minorHAnsi" w:cstheme="minorHAnsi"/>
          <w:color w:val="FF0000"/>
          <w:spacing w:val="11"/>
          <w:sz w:val="32"/>
          <w:szCs w:val="32"/>
        </w:rPr>
        <w:t> </w:t>
      </w:r>
      <w:r w:rsidRPr="00BB413D">
        <w:rPr>
          <w:rStyle w:val="a3"/>
          <w:rFonts w:asciiTheme="minorHAnsi" w:hAnsiTheme="minorHAnsi" w:cstheme="minorHAnsi"/>
          <w:color w:val="FF0000"/>
          <w:spacing w:val="11"/>
          <w:sz w:val="32"/>
          <w:szCs w:val="32"/>
        </w:rPr>
        <w:t>εισφορές</w:t>
      </w:r>
      <w:r w:rsidRPr="00BB413D">
        <w:rPr>
          <w:rFonts w:asciiTheme="minorHAnsi" w:hAnsiTheme="minorHAnsi" w:cstheme="minorHAnsi"/>
          <w:color w:val="FF0000"/>
          <w:spacing w:val="11"/>
          <w:sz w:val="32"/>
          <w:szCs w:val="32"/>
        </w:rPr>
        <w:t> </w:t>
      </w:r>
      <w:r w:rsidRPr="00BB413D">
        <w:rPr>
          <w:rStyle w:val="a3"/>
          <w:rFonts w:asciiTheme="minorHAnsi" w:hAnsiTheme="minorHAnsi" w:cstheme="minorHAnsi"/>
          <w:color w:val="FF0000"/>
          <w:spacing w:val="11"/>
          <w:sz w:val="32"/>
          <w:szCs w:val="32"/>
        </w:rPr>
        <w:t>προς</w:t>
      </w:r>
      <w:r w:rsidRPr="00BB413D">
        <w:rPr>
          <w:rFonts w:asciiTheme="minorHAnsi" w:hAnsiTheme="minorHAnsi" w:cstheme="minorHAnsi"/>
          <w:color w:val="FF0000"/>
          <w:spacing w:val="11"/>
          <w:sz w:val="32"/>
          <w:szCs w:val="32"/>
        </w:rPr>
        <w:t> </w:t>
      </w:r>
      <w:r w:rsidRPr="00BB413D">
        <w:rPr>
          <w:rStyle w:val="a3"/>
          <w:rFonts w:asciiTheme="minorHAnsi" w:hAnsiTheme="minorHAnsi" w:cstheme="minorHAnsi"/>
          <w:color w:val="FF0000"/>
          <w:spacing w:val="11"/>
          <w:sz w:val="32"/>
          <w:szCs w:val="32"/>
        </w:rPr>
        <w:t>τον</w:t>
      </w:r>
      <w:r w:rsidRPr="00BB413D">
        <w:rPr>
          <w:rFonts w:asciiTheme="minorHAnsi" w:hAnsiTheme="minorHAnsi" w:cstheme="minorHAnsi"/>
          <w:color w:val="FF0000"/>
          <w:spacing w:val="11"/>
          <w:sz w:val="32"/>
          <w:szCs w:val="32"/>
        </w:rPr>
        <w:t> </w:t>
      </w:r>
      <w:r w:rsidRPr="00BB413D">
        <w:rPr>
          <w:rStyle w:val="a3"/>
          <w:rFonts w:asciiTheme="minorHAnsi" w:hAnsiTheme="minorHAnsi" w:cstheme="minorHAnsi"/>
          <w:color w:val="FF0000"/>
          <w:spacing w:val="11"/>
          <w:sz w:val="32"/>
          <w:szCs w:val="32"/>
        </w:rPr>
        <w:t>ΕΦΚΑ</w:t>
      </w:r>
    </w:p>
    <w:p w:rsidR="00BB413D" w:rsidRPr="002641D4" w:rsidRDefault="00BB413D" w:rsidP="00BB413D">
      <w:pPr>
        <w:pStyle w:val="Web"/>
        <w:shd w:val="clear" w:color="auto" w:fill="FFFFFF"/>
        <w:spacing w:before="192" w:beforeAutospacing="0" w:after="192" w:afterAutospacing="0"/>
        <w:jc w:val="both"/>
        <w:rPr>
          <w:rFonts w:asciiTheme="minorHAnsi" w:hAnsiTheme="minorHAnsi" w:cstheme="minorHAnsi"/>
          <w:spacing w:val="11"/>
          <w:sz w:val="28"/>
          <w:szCs w:val="28"/>
        </w:rPr>
      </w:pPr>
      <w:r w:rsidRPr="002641D4">
        <w:rPr>
          <w:rStyle w:val="a3"/>
          <w:rFonts w:asciiTheme="minorHAnsi" w:hAnsiTheme="minorHAnsi" w:cstheme="minorHAnsi"/>
          <w:spacing w:val="11"/>
          <w:sz w:val="28"/>
          <w:szCs w:val="28"/>
        </w:rPr>
        <w:t>Άρθρο</w:t>
      </w:r>
      <w:r w:rsidRPr="002641D4">
        <w:rPr>
          <w:rFonts w:asciiTheme="minorHAnsi" w:hAnsiTheme="minorHAnsi" w:cstheme="minorHAnsi"/>
          <w:spacing w:val="11"/>
          <w:sz w:val="28"/>
          <w:szCs w:val="28"/>
        </w:rPr>
        <w:t> </w:t>
      </w:r>
      <w:r w:rsidRPr="002641D4">
        <w:rPr>
          <w:rStyle w:val="a3"/>
          <w:rFonts w:asciiTheme="minorHAnsi" w:hAnsiTheme="minorHAnsi" w:cstheme="minorHAnsi"/>
          <w:spacing w:val="11"/>
          <w:sz w:val="28"/>
          <w:szCs w:val="28"/>
        </w:rPr>
        <w:t>61</w:t>
      </w:r>
      <w:r w:rsidRPr="002641D4">
        <w:rPr>
          <w:rFonts w:asciiTheme="minorHAnsi" w:hAnsiTheme="minorHAnsi" w:cstheme="minorHAnsi"/>
          <w:spacing w:val="11"/>
          <w:sz w:val="28"/>
          <w:szCs w:val="28"/>
        </w:rPr>
        <w:t> </w:t>
      </w:r>
      <w:r w:rsidRPr="002641D4">
        <w:rPr>
          <w:rStyle w:val="a3"/>
          <w:rFonts w:asciiTheme="minorHAnsi" w:hAnsiTheme="minorHAnsi" w:cstheme="minorHAnsi"/>
          <w:spacing w:val="11"/>
          <w:sz w:val="28"/>
          <w:szCs w:val="28"/>
        </w:rPr>
        <w:t>του</w:t>
      </w:r>
      <w:r w:rsidRPr="002641D4">
        <w:rPr>
          <w:rFonts w:asciiTheme="minorHAnsi" w:hAnsiTheme="minorHAnsi" w:cstheme="minorHAnsi"/>
          <w:spacing w:val="11"/>
          <w:sz w:val="28"/>
          <w:szCs w:val="28"/>
        </w:rPr>
        <w:t> </w:t>
      </w:r>
      <w:hyperlink r:id="rId4" w:tgtFrame="_blank" w:history="1">
        <w:r w:rsidRPr="002641D4">
          <w:rPr>
            <w:rStyle w:val="a3"/>
            <w:rFonts w:asciiTheme="minorHAnsi" w:hAnsiTheme="minorHAnsi" w:cstheme="minorHAnsi"/>
            <w:spacing w:val="11"/>
            <w:sz w:val="28"/>
            <w:szCs w:val="28"/>
          </w:rPr>
          <w:t>ν.3863/2010</w:t>
        </w:r>
      </w:hyperlink>
      <w:r w:rsidRPr="002641D4">
        <w:rPr>
          <w:rStyle w:val="a3"/>
          <w:rFonts w:asciiTheme="minorHAnsi" w:hAnsiTheme="minorHAnsi" w:cstheme="minorHAnsi"/>
          <w:spacing w:val="11"/>
          <w:sz w:val="28"/>
          <w:szCs w:val="28"/>
        </w:rPr>
        <w:t>,</w:t>
      </w:r>
      <w:r w:rsidRPr="002641D4">
        <w:rPr>
          <w:rFonts w:asciiTheme="minorHAnsi" w:hAnsiTheme="minorHAnsi" w:cstheme="minorHAnsi"/>
          <w:spacing w:val="11"/>
          <w:sz w:val="28"/>
          <w:szCs w:val="28"/>
        </w:rPr>
        <w:t> </w:t>
      </w:r>
      <w:r w:rsidRPr="002641D4">
        <w:rPr>
          <w:rStyle w:val="a3"/>
          <w:rFonts w:asciiTheme="minorHAnsi" w:hAnsiTheme="minorHAnsi" w:cstheme="minorHAnsi"/>
          <w:spacing w:val="11"/>
          <w:sz w:val="28"/>
          <w:szCs w:val="28"/>
        </w:rPr>
        <w:t>όπως</w:t>
      </w:r>
      <w:r w:rsidRPr="002641D4">
        <w:rPr>
          <w:rFonts w:asciiTheme="minorHAnsi" w:hAnsiTheme="minorHAnsi" w:cstheme="minorHAnsi"/>
          <w:spacing w:val="11"/>
          <w:sz w:val="28"/>
          <w:szCs w:val="28"/>
        </w:rPr>
        <w:t> </w:t>
      </w:r>
      <w:r w:rsidRPr="002641D4">
        <w:rPr>
          <w:rStyle w:val="a3"/>
          <w:rFonts w:asciiTheme="minorHAnsi" w:hAnsiTheme="minorHAnsi" w:cstheme="minorHAnsi"/>
          <w:spacing w:val="11"/>
          <w:sz w:val="28"/>
          <w:szCs w:val="28"/>
        </w:rPr>
        <w:t>ισχύει.</w:t>
      </w:r>
    </w:p>
    <w:p w:rsidR="00BB413D" w:rsidRPr="002641D4" w:rsidRDefault="00BB413D" w:rsidP="00BB413D">
      <w:pPr>
        <w:pStyle w:val="Web"/>
        <w:shd w:val="clear" w:color="auto" w:fill="FFFFFF"/>
        <w:spacing w:before="192" w:beforeAutospacing="0" w:after="192" w:afterAutospacing="0"/>
        <w:jc w:val="both"/>
        <w:rPr>
          <w:rFonts w:asciiTheme="minorHAnsi" w:hAnsiTheme="minorHAnsi" w:cstheme="minorHAnsi"/>
          <w:spacing w:val="11"/>
          <w:sz w:val="28"/>
          <w:szCs w:val="28"/>
        </w:rPr>
      </w:pPr>
      <w:r w:rsidRPr="002641D4">
        <w:rPr>
          <w:rFonts w:asciiTheme="minorHAnsi" w:hAnsiTheme="minorHAnsi" w:cstheme="minorHAnsi"/>
          <w:spacing w:val="11"/>
          <w:sz w:val="28"/>
          <w:szCs w:val="28"/>
        </w:rPr>
        <w:t xml:space="preserve">Οι οφειλές προς φορείς αυτοαπασχολούμενων που μπορούν να παρακρατηθούν από τη σύνταξη δεν μπορεί να υπερβαίνουν τις 20.000 ευρώ και ειδικά προς τον </w:t>
      </w:r>
      <w:proofErr w:type="spellStart"/>
      <w:r w:rsidRPr="002641D4">
        <w:rPr>
          <w:rFonts w:asciiTheme="minorHAnsi" w:hAnsiTheme="minorHAnsi" w:cstheme="minorHAnsi"/>
          <w:spacing w:val="11"/>
          <w:sz w:val="28"/>
          <w:szCs w:val="28"/>
        </w:rPr>
        <w:t>πρ</w:t>
      </w:r>
      <w:proofErr w:type="spellEnd"/>
      <w:r w:rsidRPr="002641D4">
        <w:rPr>
          <w:rFonts w:asciiTheme="minorHAnsi" w:hAnsiTheme="minorHAnsi" w:cstheme="minorHAnsi"/>
          <w:spacing w:val="11"/>
          <w:sz w:val="28"/>
          <w:szCs w:val="28"/>
        </w:rPr>
        <w:t>. ΟΓΑ τις 6.000 ευρώ και μόνο για τις οφειλές που προκύπτουν από την υπαγωγή στην ασφάλισή του.</w:t>
      </w:r>
    </w:p>
    <w:p w:rsidR="00BB413D" w:rsidRPr="002641D4" w:rsidRDefault="00BB413D" w:rsidP="00BB413D">
      <w:pPr>
        <w:pStyle w:val="Web"/>
        <w:shd w:val="clear" w:color="auto" w:fill="FFFFFF"/>
        <w:spacing w:before="192" w:beforeAutospacing="0" w:after="192" w:afterAutospacing="0"/>
        <w:jc w:val="both"/>
        <w:rPr>
          <w:rFonts w:asciiTheme="minorHAnsi" w:hAnsiTheme="minorHAnsi" w:cstheme="minorHAnsi"/>
          <w:spacing w:val="11"/>
          <w:sz w:val="28"/>
          <w:szCs w:val="28"/>
        </w:rPr>
      </w:pPr>
      <w:r w:rsidRPr="002641D4">
        <w:rPr>
          <w:rFonts w:asciiTheme="minorHAnsi" w:hAnsiTheme="minorHAnsi" w:cstheme="minorHAnsi"/>
          <w:spacing w:val="11"/>
          <w:sz w:val="28"/>
          <w:szCs w:val="28"/>
        </w:rPr>
        <w:t>Εάν οφείλονται ποσά μεγαλύτερα, τα υπερβάλλοντα ποσά εξοφλούνται εντός διμήνου από την κοινοποίηση της οφειλής.</w:t>
      </w:r>
    </w:p>
    <w:p w:rsidR="00BB413D" w:rsidRPr="002641D4" w:rsidRDefault="00BB413D" w:rsidP="00BB413D">
      <w:pPr>
        <w:pStyle w:val="Web"/>
        <w:shd w:val="clear" w:color="auto" w:fill="FFFFFF"/>
        <w:spacing w:before="192" w:beforeAutospacing="0" w:after="192" w:afterAutospacing="0"/>
        <w:jc w:val="both"/>
        <w:rPr>
          <w:rFonts w:asciiTheme="minorHAnsi" w:hAnsiTheme="minorHAnsi" w:cstheme="minorHAnsi"/>
          <w:spacing w:val="11"/>
          <w:sz w:val="28"/>
          <w:szCs w:val="28"/>
        </w:rPr>
      </w:pPr>
      <w:r w:rsidRPr="002641D4">
        <w:rPr>
          <w:rStyle w:val="a3"/>
          <w:rFonts w:asciiTheme="minorHAnsi" w:hAnsiTheme="minorHAnsi" w:cstheme="minorHAnsi"/>
          <w:spacing w:val="11"/>
          <w:sz w:val="28"/>
          <w:szCs w:val="28"/>
        </w:rPr>
        <w:t>Άρθρο 115 του </w:t>
      </w:r>
      <w:hyperlink r:id="rId5" w:tgtFrame="_blank" w:history="1">
        <w:r w:rsidRPr="002641D4">
          <w:rPr>
            <w:rStyle w:val="-"/>
            <w:rFonts w:asciiTheme="minorHAnsi" w:hAnsiTheme="minorHAnsi" w:cstheme="minorHAnsi"/>
            <w:b/>
            <w:bCs/>
            <w:spacing w:val="11"/>
            <w:sz w:val="28"/>
            <w:szCs w:val="28"/>
          </w:rPr>
          <w:t>ν.5078/2023</w:t>
        </w:r>
      </w:hyperlink>
    </w:p>
    <w:p w:rsidR="00BB413D" w:rsidRPr="002641D4" w:rsidRDefault="00BB413D" w:rsidP="00BB413D">
      <w:pPr>
        <w:pStyle w:val="Web"/>
        <w:shd w:val="clear" w:color="auto" w:fill="FFFFFF"/>
        <w:spacing w:before="192" w:beforeAutospacing="0" w:after="192" w:afterAutospacing="0"/>
        <w:jc w:val="both"/>
        <w:rPr>
          <w:rFonts w:asciiTheme="minorHAnsi" w:hAnsiTheme="minorHAnsi" w:cstheme="minorHAnsi"/>
          <w:spacing w:val="11"/>
          <w:sz w:val="28"/>
          <w:szCs w:val="28"/>
        </w:rPr>
      </w:pPr>
      <w:r w:rsidRPr="002641D4">
        <w:rPr>
          <w:rFonts w:asciiTheme="minorHAnsi" w:hAnsiTheme="minorHAnsi" w:cstheme="minorHAnsi"/>
          <w:spacing w:val="11"/>
          <w:sz w:val="28"/>
          <w:szCs w:val="28"/>
        </w:rPr>
        <w:t xml:space="preserve">Όριο οφειλής στις 30.000 ευρώ, και προκειμένου για τον </w:t>
      </w:r>
      <w:proofErr w:type="spellStart"/>
      <w:r w:rsidRPr="002641D4">
        <w:rPr>
          <w:rFonts w:asciiTheme="minorHAnsi" w:hAnsiTheme="minorHAnsi" w:cstheme="minorHAnsi"/>
          <w:spacing w:val="11"/>
          <w:sz w:val="28"/>
          <w:szCs w:val="28"/>
        </w:rPr>
        <w:t>πρ</w:t>
      </w:r>
      <w:proofErr w:type="spellEnd"/>
      <w:r w:rsidRPr="002641D4">
        <w:rPr>
          <w:rFonts w:asciiTheme="minorHAnsi" w:hAnsiTheme="minorHAnsi" w:cstheme="minorHAnsi"/>
          <w:spacing w:val="11"/>
          <w:sz w:val="28"/>
          <w:szCs w:val="28"/>
        </w:rPr>
        <w:t>. ΟΓΑ στις 10.000 ευρώ, εφόσον πληρούνται σωρευτικά οι ακόλουθες προϋποθέσεις:</w:t>
      </w:r>
    </w:p>
    <w:p w:rsidR="00BB413D" w:rsidRPr="002641D4" w:rsidRDefault="00BB413D" w:rsidP="00BB413D">
      <w:pPr>
        <w:pStyle w:val="Web"/>
        <w:shd w:val="clear" w:color="auto" w:fill="FFFFFF"/>
        <w:spacing w:before="192" w:beforeAutospacing="0" w:after="192" w:afterAutospacing="0"/>
        <w:jc w:val="both"/>
        <w:rPr>
          <w:rFonts w:asciiTheme="minorHAnsi" w:hAnsiTheme="minorHAnsi" w:cstheme="minorHAnsi"/>
          <w:spacing w:val="11"/>
          <w:sz w:val="28"/>
          <w:szCs w:val="28"/>
        </w:rPr>
      </w:pPr>
      <w:r w:rsidRPr="002641D4">
        <w:rPr>
          <w:rStyle w:val="a3"/>
          <w:rFonts w:asciiTheme="minorHAnsi" w:hAnsiTheme="minorHAnsi" w:cstheme="minorHAnsi"/>
          <w:spacing w:val="11"/>
          <w:sz w:val="28"/>
          <w:szCs w:val="28"/>
        </w:rPr>
        <w:t>α)</w:t>
      </w:r>
      <w:r w:rsidRPr="002641D4">
        <w:rPr>
          <w:rFonts w:asciiTheme="minorHAnsi" w:hAnsiTheme="minorHAnsi" w:cstheme="minorHAnsi"/>
          <w:spacing w:val="11"/>
          <w:sz w:val="28"/>
          <w:szCs w:val="28"/>
        </w:rPr>
        <w:t> ο υποψήφιος συνταξιούχος έχει συμπληρώσει το εξηκοστό έβδομο (67ο) έτος της ηλικίας του ή εφόσον έχει χρόνο ασφάλισης τουλάχιστον σαράντα (40) ετών, το εξηκοστό δεύτερο (62ο) έτος της ηλικίας του,</w:t>
      </w:r>
    </w:p>
    <w:p w:rsidR="00BB413D" w:rsidRPr="002641D4" w:rsidRDefault="00BB413D" w:rsidP="00BB413D">
      <w:pPr>
        <w:pStyle w:val="Web"/>
        <w:shd w:val="clear" w:color="auto" w:fill="FFFFFF"/>
        <w:spacing w:before="192" w:beforeAutospacing="0" w:after="192" w:afterAutospacing="0"/>
        <w:jc w:val="both"/>
        <w:rPr>
          <w:rFonts w:asciiTheme="minorHAnsi" w:hAnsiTheme="minorHAnsi" w:cstheme="minorHAnsi"/>
          <w:spacing w:val="11"/>
          <w:sz w:val="28"/>
          <w:szCs w:val="28"/>
        </w:rPr>
      </w:pPr>
      <w:r w:rsidRPr="002641D4">
        <w:rPr>
          <w:rStyle w:val="a3"/>
          <w:rFonts w:asciiTheme="minorHAnsi" w:hAnsiTheme="minorHAnsi" w:cstheme="minorHAnsi"/>
          <w:spacing w:val="11"/>
          <w:sz w:val="28"/>
          <w:szCs w:val="28"/>
        </w:rPr>
        <w:t>β)</w:t>
      </w:r>
      <w:r w:rsidRPr="002641D4">
        <w:rPr>
          <w:rFonts w:asciiTheme="minorHAnsi" w:hAnsiTheme="minorHAnsi" w:cstheme="minorHAnsi"/>
          <w:spacing w:val="11"/>
          <w:sz w:val="28"/>
          <w:szCs w:val="28"/>
        </w:rPr>
        <w:t> έχει καταβάλει εισφορές για χρόνο ασφάλισης τουλάχιστον είκοσι (20) ετών ή έξι χιλιάδων (6.000) ημερών και</w:t>
      </w:r>
    </w:p>
    <w:p w:rsidR="00BB413D" w:rsidRPr="002641D4" w:rsidRDefault="00BB413D" w:rsidP="00BB413D">
      <w:pPr>
        <w:pStyle w:val="Web"/>
        <w:shd w:val="clear" w:color="auto" w:fill="FFFFFF"/>
        <w:spacing w:before="192" w:beforeAutospacing="0" w:after="192" w:afterAutospacing="0"/>
        <w:jc w:val="both"/>
        <w:rPr>
          <w:rFonts w:asciiTheme="minorHAnsi" w:hAnsiTheme="minorHAnsi" w:cstheme="minorHAnsi"/>
          <w:spacing w:val="11"/>
          <w:sz w:val="28"/>
          <w:szCs w:val="28"/>
        </w:rPr>
      </w:pPr>
      <w:r w:rsidRPr="002641D4">
        <w:rPr>
          <w:rStyle w:val="a3"/>
          <w:rFonts w:asciiTheme="minorHAnsi" w:hAnsiTheme="minorHAnsi" w:cstheme="minorHAnsi"/>
          <w:spacing w:val="11"/>
          <w:sz w:val="28"/>
          <w:szCs w:val="28"/>
        </w:rPr>
        <w:t>γ) </w:t>
      </w:r>
      <w:r w:rsidRPr="002641D4">
        <w:rPr>
          <w:rFonts w:asciiTheme="minorHAnsi" w:hAnsiTheme="minorHAnsi" w:cstheme="minorHAnsi"/>
          <w:spacing w:val="11"/>
          <w:sz w:val="28"/>
          <w:szCs w:val="28"/>
        </w:rPr>
        <w:t xml:space="preserve">οι τραπεζικές καταθέσεις του δεν ξεπερνούν το ποσό των δώδεκα χιλιάδων (12.000) ευρώ ή το ποσό των έξι χιλιάδων (6.000) ευρώ αν είναι οφειλέτης προς τον </w:t>
      </w:r>
      <w:proofErr w:type="spellStart"/>
      <w:r w:rsidRPr="002641D4">
        <w:rPr>
          <w:rFonts w:asciiTheme="minorHAnsi" w:hAnsiTheme="minorHAnsi" w:cstheme="minorHAnsi"/>
          <w:spacing w:val="11"/>
          <w:sz w:val="28"/>
          <w:szCs w:val="28"/>
        </w:rPr>
        <w:t>πρ</w:t>
      </w:r>
      <w:proofErr w:type="spellEnd"/>
      <w:r w:rsidRPr="002641D4">
        <w:rPr>
          <w:rFonts w:asciiTheme="minorHAnsi" w:hAnsiTheme="minorHAnsi" w:cstheme="minorHAnsi"/>
          <w:spacing w:val="11"/>
          <w:sz w:val="28"/>
          <w:szCs w:val="28"/>
        </w:rPr>
        <w:t>. ΟΓΑ. Εφόσον πληρούνται τα ανωτέρω η παρακράτηση του ποσού από τη σύνταξη γίνεται  ως εξής:</w:t>
      </w:r>
    </w:p>
    <w:p w:rsidR="00BB413D" w:rsidRPr="002641D4" w:rsidRDefault="00BB413D" w:rsidP="00BB413D">
      <w:pPr>
        <w:pStyle w:val="Web"/>
        <w:shd w:val="clear" w:color="auto" w:fill="FFFFFF"/>
        <w:spacing w:before="192" w:beforeAutospacing="0" w:after="192" w:afterAutospacing="0"/>
        <w:jc w:val="both"/>
        <w:rPr>
          <w:rFonts w:asciiTheme="minorHAnsi" w:hAnsiTheme="minorHAnsi" w:cstheme="minorHAnsi"/>
          <w:spacing w:val="11"/>
          <w:sz w:val="28"/>
          <w:szCs w:val="28"/>
        </w:rPr>
      </w:pPr>
      <w:r w:rsidRPr="002641D4">
        <w:rPr>
          <w:rFonts w:asciiTheme="minorHAnsi" w:hAnsiTheme="minorHAnsi" w:cstheme="minorHAnsi"/>
          <w:spacing w:val="11"/>
          <w:sz w:val="28"/>
          <w:szCs w:val="28"/>
        </w:rPr>
        <w:t>Το υπερβάλλον των 20.000 ευρώ και έως τις 30.000 ευρώ ή των έξι 6.000 ευρώ και μέχρι 10.000 ευρώ (προκειμένου για τον ΟΓΑ) ποσό οφειλής, συμψηφίζεται με το εξήντα τοις εκατό (60%) του μηνιαίου ποσού της καταβαλλόμενης  σύνταξης,  μέχρι  τον μηδενισμό του.</w:t>
      </w:r>
    </w:p>
    <w:p w:rsidR="00BB413D" w:rsidRPr="002641D4" w:rsidRDefault="00BB413D" w:rsidP="00BB413D">
      <w:pPr>
        <w:pStyle w:val="Web"/>
        <w:shd w:val="clear" w:color="auto" w:fill="FFFFFF"/>
        <w:spacing w:before="192" w:beforeAutospacing="0" w:after="192" w:afterAutospacing="0"/>
        <w:jc w:val="both"/>
        <w:rPr>
          <w:rFonts w:asciiTheme="minorHAnsi" w:hAnsiTheme="minorHAnsi" w:cstheme="minorHAnsi"/>
          <w:spacing w:val="11"/>
          <w:sz w:val="28"/>
          <w:szCs w:val="28"/>
        </w:rPr>
      </w:pPr>
      <w:r w:rsidRPr="002641D4">
        <w:rPr>
          <w:rFonts w:asciiTheme="minorHAnsi" w:hAnsiTheme="minorHAnsi" w:cstheme="minorHAnsi"/>
          <w:spacing w:val="11"/>
          <w:sz w:val="28"/>
          <w:szCs w:val="28"/>
        </w:rPr>
        <w:t>Η εναπομένουσα των 20.000 ευρώ ή των 6.000 ευρώ οφειλή παρακρατείται από το ποσό της σύνταξης σε ίσες μηνιαίες δόσεις, που δεν μπορεί να είναι περισσότερες από εξήντα (60).</w:t>
      </w:r>
    </w:p>
    <w:p w:rsidR="00BB413D" w:rsidRDefault="00BB413D" w:rsidP="00BB413D"/>
    <w:p w:rsidR="003F03BB" w:rsidRDefault="003F03BB"/>
    <w:sectPr w:rsidR="003F03BB" w:rsidSect="00BB413D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413D"/>
    <w:rsid w:val="003F03BB"/>
    <w:rsid w:val="00BB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B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B413D"/>
    <w:rPr>
      <w:b/>
      <w:bCs/>
    </w:rPr>
  </w:style>
  <w:style w:type="character" w:styleId="-">
    <w:name w:val="Hyperlink"/>
    <w:basedOn w:val="a0"/>
    <w:uiPriority w:val="99"/>
    <w:semiHidden/>
    <w:unhideWhenUsed/>
    <w:rsid w:val="00BB41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pergasias.gov.gr/wp-content/uploads/2024/07/FEK_2023-12-23_A-211_%CE%9D-5078-%CE%91%CE%BD%CE%B1%CE%BC%CF%8C%CF%81%CF%86%CF%89%CF%83%CE%B7-%CE%95%CF%80%CE%B1%CE%B3%CE%B3%CE%B5%CE%BB%CE%BC%CE%B1%CF%84%CE%B9%CE%BA%CE%AE%CF%82-%CE%91%CF%83%CF%86%CE%AC%CE%BB%CE%B9%CF%83%CE%B7%CF%82-%CE%BA%CE%BB%CF%80.pdf" TargetMode="External"/><Relationship Id="rId4" Type="http://schemas.openxmlformats.org/officeDocument/2006/relationships/hyperlink" Target="https://ypergasias.gov.gr/wp-content/uploads/2021/02/%CE%BD.-3863-2010_%CE%A6%CE%95%CE%9A_%CE%91_115_2010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</cp:revision>
  <dcterms:created xsi:type="dcterms:W3CDTF">2025-05-04T18:21:00Z</dcterms:created>
  <dcterms:modified xsi:type="dcterms:W3CDTF">2025-05-04T18:22:00Z</dcterms:modified>
</cp:coreProperties>
</file>